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225DDF" w:rsidP="00225DDF">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Name </w:t>
      </w:r>
    </w:p>
    <w:p w:rsidR="00225DDF" w:rsidP="00225DDF">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Institution </w:t>
      </w:r>
    </w:p>
    <w:p w:rsidR="00225DDF" w:rsidP="00225DDF">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Course </w:t>
      </w:r>
    </w:p>
    <w:p w:rsidR="00225DDF" w:rsidP="00225DDF">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Instructor </w:t>
      </w:r>
    </w:p>
    <w:p w:rsidR="00225DDF" w:rsidP="00225DDF">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Date </w:t>
      </w:r>
    </w:p>
    <w:p w:rsidR="00BB0B1C" w:rsidRPr="00225DDF" w:rsidP="00225DDF">
      <w:pPr>
        <w:spacing w:line="480" w:lineRule="auto"/>
        <w:ind w:firstLine="720"/>
        <w:jc w:val="both"/>
        <w:rPr>
          <w:rFonts w:ascii="Times New Roman" w:hAnsi="Times New Roman" w:cs="Times New Roman"/>
          <w:sz w:val="24"/>
          <w:szCs w:val="24"/>
        </w:rPr>
      </w:pPr>
      <w:r w:rsidRPr="00225DDF">
        <w:rPr>
          <w:rFonts w:ascii="Times New Roman" w:hAnsi="Times New Roman" w:cs="Times New Roman"/>
          <w:sz w:val="24"/>
          <w:szCs w:val="24"/>
        </w:rPr>
        <w:t>The admissibility of victim</w:t>
      </w:r>
      <w:bookmarkStart w:id="0" w:name="_GoBack"/>
      <w:bookmarkEnd w:id="0"/>
      <w:r w:rsidRPr="00225DDF">
        <w:rPr>
          <w:rFonts w:ascii="Times New Roman" w:hAnsi="Times New Roman" w:cs="Times New Roman"/>
          <w:sz w:val="24"/>
          <w:szCs w:val="24"/>
        </w:rPr>
        <w:t xml:space="preserve"> impact </w:t>
      </w:r>
      <w:r w:rsidRPr="00225DDF" w:rsidR="00EF207A">
        <w:rPr>
          <w:rFonts w:ascii="Times New Roman" w:hAnsi="Times New Roman" w:cs="Times New Roman"/>
          <w:sz w:val="24"/>
          <w:szCs w:val="24"/>
        </w:rPr>
        <w:t xml:space="preserve">evidence was involved by the Supreme Court decision of Payne v. Tennessee. The supreme court established that the Eighth Amendment to the constitution of the United States does not in itself bar the admission of the victim impact evidence during the admission of victim impact evidence in the penalty phase of the trial. </w:t>
      </w:r>
    </w:p>
    <w:p w:rsidR="00EF6A00" w:rsidRPr="00225DDF" w:rsidP="00225DDF">
      <w:pPr>
        <w:spacing w:line="480" w:lineRule="auto"/>
        <w:ind w:firstLine="720"/>
        <w:jc w:val="both"/>
        <w:rPr>
          <w:rFonts w:ascii="Times New Roman" w:hAnsi="Times New Roman" w:cs="Times New Roman"/>
          <w:sz w:val="24"/>
          <w:szCs w:val="24"/>
        </w:rPr>
      </w:pPr>
      <w:r w:rsidRPr="00225DDF">
        <w:rPr>
          <w:rFonts w:ascii="Times New Roman" w:hAnsi="Times New Roman" w:cs="Times New Roman"/>
          <w:sz w:val="24"/>
          <w:szCs w:val="24"/>
        </w:rPr>
        <w:t xml:space="preserve">In the </w:t>
      </w:r>
      <w:r w:rsidRPr="00225DDF">
        <w:rPr>
          <w:rFonts w:ascii="Times New Roman" w:hAnsi="Times New Roman" w:cs="Times New Roman"/>
          <w:sz w:val="24"/>
          <w:szCs w:val="24"/>
        </w:rPr>
        <w:t xml:space="preserve">case of Payne v. </w:t>
      </w:r>
      <w:r w:rsidRPr="00225DDF">
        <w:rPr>
          <w:rFonts w:ascii="Times New Roman" w:hAnsi="Times New Roman" w:cs="Times New Roman"/>
          <w:sz w:val="24"/>
          <w:szCs w:val="24"/>
        </w:rPr>
        <w:t xml:space="preserve">Tennessee, Payne was charged with the brutal murder of </w:t>
      </w:r>
      <w:r w:rsidRPr="00225DDF">
        <w:rPr>
          <w:rFonts w:ascii="Times New Roman" w:hAnsi="Times New Roman" w:cs="Times New Roman"/>
          <w:sz w:val="24"/>
          <w:szCs w:val="24"/>
        </w:rPr>
        <w:t>Charisse</w:t>
      </w:r>
      <w:r w:rsidRPr="00225DDF">
        <w:rPr>
          <w:rFonts w:ascii="Times New Roman" w:hAnsi="Times New Roman" w:cs="Times New Roman"/>
          <w:sz w:val="24"/>
          <w:szCs w:val="24"/>
        </w:rPr>
        <w:t xml:space="preserve"> Christopher aged 28, her two-year-old daughter named </w:t>
      </w:r>
      <w:r w:rsidRPr="00225DDF">
        <w:rPr>
          <w:rFonts w:ascii="Times New Roman" w:hAnsi="Times New Roman" w:cs="Times New Roman"/>
          <w:sz w:val="24"/>
          <w:szCs w:val="24"/>
        </w:rPr>
        <w:t>Lacie</w:t>
      </w:r>
      <w:r w:rsidRPr="00225DDF">
        <w:rPr>
          <w:rFonts w:ascii="Times New Roman" w:hAnsi="Times New Roman" w:cs="Times New Roman"/>
          <w:sz w:val="24"/>
          <w:szCs w:val="24"/>
        </w:rPr>
        <w:t xml:space="preserve">. The </w:t>
      </w:r>
      <w:r w:rsidRPr="00225DDF">
        <w:rPr>
          <w:rFonts w:ascii="Times New Roman" w:hAnsi="Times New Roman" w:cs="Times New Roman"/>
          <w:sz w:val="24"/>
          <w:szCs w:val="24"/>
        </w:rPr>
        <w:t>victims’s</w:t>
      </w:r>
      <w:r w:rsidRPr="00225DDF">
        <w:rPr>
          <w:rFonts w:ascii="Times New Roman" w:hAnsi="Times New Roman" w:cs="Times New Roman"/>
          <w:sz w:val="24"/>
          <w:szCs w:val="24"/>
        </w:rPr>
        <w:t xml:space="preserve"> </w:t>
      </w:r>
      <w:r w:rsidRPr="00225DDF" w:rsidR="00673A0C">
        <w:rPr>
          <w:rFonts w:ascii="Times New Roman" w:hAnsi="Times New Roman" w:cs="Times New Roman"/>
          <w:sz w:val="24"/>
          <w:szCs w:val="24"/>
        </w:rPr>
        <w:t>three-year-old</w:t>
      </w:r>
      <w:r w:rsidRPr="00225DDF">
        <w:rPr>
          <w:rFonts w:ascii="Times New Roman" w:hAnsi="Times New Roman" w:cs="Times New Roman"/>
          <w:sz w:val="24"/>
          <w:szCs w:val="24"/>
        </w:rPr>
        <w:t xml:space="preserve"> son was also brutally attacked but managed to survive the attack. </w:t>
      </w:r>
      <w:r w:rsidRPr="00225DDF" w:rsidR="00673A0C">
        <w:rPr>
          <w:rFonts w:ascii="Times New Roman" w:hAnsi="Times New Roman" w:cs="Times New Roman"/>
          <w:sz w:val="24"/>
          <w:szCs w:val="24"/>
        </w:rPr>
        <w:t xml:space="preserve">The victims were close neighbors of Payne’s girlfriend who had been away on a trip to Arkansas. </w:t>
      </w:r>
      <w:r w:rsidRPr="00225DDF" w:rsidR="00DB3824">
        <w:rPr>
          <w:rFonts w:ascii="Times New Roman" w:hAnsi="Times New Roman" w:cs="Times New Roman"/>
          <w:sz w:val="24"/>
          <w:szCs w:val="24"/>
        </w:rPr>
        <w:t>After her continued absence and considerable dr</w:t>
      </w:r>
      <w:r w:rsidRPr="00225DDF" w:rsidR="006F0E69">
        <w:rPr>
          <w:rFonts w:ascii="Times New Roman" w:hAnsi="Times New Roman" w:cs="Times New Roman"/>
          <w:sz w:val="24"/>
          <w:szCs w:val="24"/>
        </w:rPr>
        <w:t xml:space="preserve">ug use by Payne, he went to </w:t>
      </w:r>
      <w:r w:rsidRPr="00225DDF" w:rsidR="006F0E69">
        <w:rPr>
          <w:rFonts w:ascii="Times New Roman" w:hAnsi="Times New Roman" w:cs="Times New Roman"/>
          <w:sz w:val="24"/>
          <w:szCs w:val="24"/>
        </w:rPr>
        <w:t>Charisse</w:t>
      </w:r>
      <w:r w:rsidRPr="00225DDF" w:rsidR="006F0E69">
        <w:rPr>
          <w:rFonts w:ascii="Times New Roman" w:hAnsi="Times New Roman" w:cs="Times New Roman"/>
          <w:sz w:val="24"/>
          <w:szCs w:val="24"/>
        </w:rPr>
        <w:t xml:space="preserve"> Christopher’s apartment making sexual advances towards her which she declined. Payne</w:t>
      </w:r>
      <w:r w:rsidRPr="00225DDF" w:rsidR="004A195A">
        <w:rPr>
          <w:rFonts w:ascii="Times New Roman" w:hAnsi="Times New Roman" w:cs="Times New Roman"/>
          <w:sz w:val="24"/>
          <w:szCs w:val="24"/>
        </w:rPr>
        <w:t>,</w:t>
      </w:r>
      <w:r w:rsidRPr="00225DDF" w:rsidR="006F0E69">
        <w:rPr>
          <w:rFonts w:ascii="Times New Roman" w:hAnsi="Times New Roman" w:cs="Times New Roman"/>
          <w:sz w:val="24"/>
          <w:szCs w:val="24"/>
        </w:rPr>
        <w:t xml:space="preserve"> being intoxicated and angered</w:t>
      </w:r>
      <w:r w:rsidRPr="00225DDF" w:rsidR="004A195A">
        <w:rPr>
          <w:rFonts w:ascii="Times New Roman" w:hAnsi="Times New Roman" w:cs="Times New Roman"/>
          <w:sz w:val="24"/>
          <w:szCs w:val="24"/>
        </w:rPr>
        <w:t>,</w:t>
      </w:r>
      <w:r w:rsidRPr="00225DDF" w:rsidR="006F0E69">
        <w:rPr>
          <w:rFonts w:ascii="Times New Roman" w:hAnsi="Times New Roman" w:cs="Times New Roman"/>
          <w:sz w:val="24"/>
          <w:szCs w:val="24"/>
        </w:rPr>
        <w:t xml:space="preserve"> used a butcher</w:t>
      </w:r>
      <w:r w:rsidRPr="00225DDF" w:rsidR="004A195A">
        <w:rPr>
          <w:rFonts w:ascii="Times New Roman" w:hAnsi="Times New Roman" w:cs="Times New Roman"/>
          <w:sz w:val="24"/>
          <w:szCs w:val="24"/>
        </w:rPr>
        <w:t>’</w:t>
      </w:r>
      <w:r w:rsidRPr="00225DDF" w:rsidR="006F0E69">
        <w:rPr>
          <w:rFonts w:ascii="Times New Roman" w:hAnsi="Times New Roman" w:cs="Times New Roman"/>
          <w:sz w:val="24"/>
          <w:szCs w:val="24"/>
        </w:rPr>
        <w:t xml:space="preserve">s </w:t>
      </w:r>
      <w:r w:rsidRPr="00225DDF" w:rsidR="004A195A">
        <w:rPr>
          <w:rFonts w:ascii="Times New Roman" w:hAnsi="Times New Roman" w:cs="Times New Roman"/>
          <w:sz w:val="24"/>
          <w:szCs w:val="24"/>
        </w:rPr>
        <w:t>knife</w:t>
      </w:r>
      <w:r w:rsidRPr="00225DDF" w:rsidR="006F0E69">
        <w:rPr>
          <w:rFonts w:ascii="Times New Roman" w:hAnsi="Times New Roman" w:cs="Times New Roman"/>
          <w:sz w:val="24"/>
          <w:szCs w:val="24"/>
        </w:rPr>
        <w:t xml:space="preserve"> to attack his three victims. </w:t>
      </w:r>
    </w:p>
    <w:p w:rsidR="004A195A" w:rsidRPr="00225DDF" w:rsidP="00225DDF">
      <w:pPr>
        <w:spacing w:line="480" w:lineRule="auto"/>
        <w:ind w:firstLine="720"/>
        <w:jc w:val="both"/>
        <w:rPr>
          <w:rFonts w:ascii="Times New Roman" w:hAnsi="Times New Roman" w:cs="Times New Roman"/>
          <w:sz w:val="24"/>
          <w:szCs w:val="24"/>
        </w:rPr>
      </w:pPr>
      <w:r w:rsidRPr="00225DDF">
        <w:rPr>
          <w:rFonts w:ascii="Times New Roman" w:hAnsi="Times New Roman" w:cs="Times New Roman"/>
          <w:sz w:val="24"/>
          <w:szCs w:val="24"/>
        </w:rPr>
        <w:t xml:space="preserve">The supreme court found him guilty of two first-degree murder counts as well as assault on first-degree assault. </w:t>
      </w:r>
      <w:r w:rsidRPr="00225DDF">
        <w:rPr>
          <w:rFonts w:ascii="Times New Roman" w:hAnsi="Times New Roman" w:cs="Times New Roman"/>
          <w:sz w:val="24"/>
          <w:szCs w:val="24"/>
        </w:rPr>
        <w:t>Charisse’s</w:t>
      </w:r>
      <w:r w:rsidRPr="00225DDF">
        <w:rPr>
          <w:rFonts w:ascii="Times New Roman" w:hAnsi="Times New Roman" w:cs="Times New Roman"/>
          <w:sz w:val="24"/>
          <w:szCs w:val="24"/>
        </w:rPr>
        <w:t xml:space="preserve"> mother was allowed to give</w:t>
      </w:r>
      <w:r w:rsidRPr="00225DDF" w:rsidR="00064350">
        <w:rPr>
          <w:rFonts w:ascii="Times New Roman" w:hAnsi="Times New Roman" w:cs="Times New Roman"/>
          <w:sz w:val="24"/>
          <w:szCs w:val="24"/>
        </w:rPr>
        <w:t xml:space="preserve"> her admission, on how the murders impacted the victim's son, during the sentencing </w:t>
      </w:r>
      <w:r w:rsidRPr="00225DDF">
        <w:rPr>
          <w:rFonts w:ascii="Times New Roman" w:hAnsi="Times New Roman" w:cs="Times New Roman"/>
          <w:sz w:val="24"/>
          <w:szCs w:val="24"/>
        </w:rPr>
        <w:t xml:space="preserve">hearing which sparked a controversy on the admissibility of victim impact evidence in the penalty </w:t>
      </w:r>
      <w:r w:rsidRPr="00225DDF" w:rsidR="00064350">
        <w:rPr>
          <w:rFonts w:ascii="Times New Roman" w:hAnsi="Times New Roman" w:cs="Times New Roman"/>
          <w:sz w:val="24"/>
          <w:szCs w:val="24"/>
        </w:rPr>
        <w:t>phase</w:t>
      </w:r>
      <w:r w:rsidRPr="00225DDF">
        <w:rPr>
          <w:rFonts w:ascii="Times New Roman" w:hAnsi="Times New Roman" w:cs="Times New Roman"/>
          <w:sz w:val="24"/>
          <w:szCs w:val="24"/>
        </w:rPr>
        <w:t xml:space="preserve">. </w:t>
      </w:r>
      <w:r w:rsidRPr="00225DDF" w:rsidR="00064350">
        <w:rPr>
          <w:rFonts w:ascii="Times New Roman" w:hAnsi="Times New Roman" w:cs="Times New Roman"/>
          <w:sz w:val="24"/>
          <w:szCs w:val="24"/>
        </w:rPr>
        <w:t>The prosecut</w:t>
      </w:r>
      <w:r w:rsidRPr="00225DDF" w:rsidR="00AD1E7A">
        <w:rPr>
          <w:rFonts w:ascii="Times New Roman" w:hAnsi="Times New Roman" w:cs="Times New Roman"/>
          <w:sz w:val="24"/>
          <w:szCs w:val="24"/>
        </w:rPr>
        <w:t xml:space="preserve">ion team included this admission in their closing statement as they sought the death penalty for Payne. </w:t>
      </w:r>
      <w:r w:rsidRPr="00225DDF" w:rsidR="00A05C35">
        <w:rPr>
          <w:rFonts w:ascii="Times New Roman" w:hAnsi="Times New Roman" w:cs="Times New Roman"/>
          <w:sz w:val="24"/>
          <w:szCs w:val="24"/>
        </w:rPr>
        <w:t xml:space="preserve">The conviction </w:t>
      </w:r>
      <w:r w:rsidRPr="00225DDF" w:rsidR="00A05C35">
        <w:rPr>
          <w:rFonts w:ascii="Times New Roman" w:hAnsi="Times New Roman" w:cs="Times New Roman"/>
          <w:sz w:val="24"/>
          <w:szCs w:val="24"/>
        </w:rPr>
        <w:t>was affirmed by the supreme court arguing that the admission did not create an unacceptable risk, when imposing the death penalty, according to the constitution and was h</w:t>
      </w:r>
      <w:r w:rsidRPr="00225DDF" w:rsidR="00A75E91">
        <w:rPr>
          <w:rFonts w:ascii="Times New Roman" w:hAnsi="Times New Roman" w:cs="Times New Roman"/>
          <w:sz w:val="24"/>
          <w:szCs w:val="24"/>
        </w:rPr>
        <w:t xml:space="preserve">ence harmless. </w:t>
      </w:r>
      <w:r w:rsidRPr="00225DDF" w:rsidR="00CE6842">
        <w:rPr>
          <w:rFonts w:ascii="Times New Roman" w:hAnsi="Times New Roman" w:cs="Times New Roman"/>
          <w:sz w:val="24"/>
          <w:szCs w:val="24"/>
        </w:rPr>
        <w:t xml:space="preserve">The court proceeded to pass the conviction on the basis of both the heinousness of the crime and the </w:t>
      </w:r>
      <w:r w:rsidRPr="00225DDF" w:rsidR="00EA4ED6">
        <w:rPr>
          <w:rFonts w:ascii="Times New Roman" w:hAnsi="Times New Roman" w:cs="Times New Roman"/>
          <w:sz w:val="24"/>
          <w:szCs w:val="24"/>
        </w:rPr>
        <w:t xml:space="preserve">consequences of the crime committed to the family of the victims. </w:t>
      </w:r>
    </w:p>
    <w:p w:rsidR="00AC07C8" w:rsidRPr="00225DDF" w:rsidP="00225DDF">
      <w:pPr>
        <w:spacing w:line="480" w:lineRule="auto"/>
        <w:ind w:firstLine="720"/>
        <w:jc w:val="both"/>
        <w:rPr>
          <w:rFonts w:ascii="Times New Roman" w:hAnsi="Times New Roman" w:cs="Times New Roman"/>
          <w:sz w:val="24"/>
          <w:szCs w:val="24"/>
        </w:rPr>
      </w:pPr>
      <w:r w:rsidRPr="00225DDF">
        <w:rPr>
          <w:rFonts w:ascii="Times New Roman" w:hAnsi="Times New Roman" w:cs="Times New Roman"/>
          <w:sz w:val="24"/>
          <w:szCs w:val="24"/>
        </w:rPr>
        <w:t xml:space="preserve">A stare decisis is a policy by the law which compels courts to refer to precedents for cases with similar circumstances. </w:t>
      </w:r>
      <w:r w:rsidRPr="00225DDF" w:rsidR="008922B7">
        <w:rPr>
          <w:rFonts w:ascii="Times New Roman" w:hAnsi="Times New Roman" w:cs="Times New Roman"/>
          <w:sz w:val="24"/>
          <w:szCs w:val="24"/>
        </w:rPr>
        <w:t xml:space="preserve">A precedent entails a court judgment or ruling on previous cases. </w:t>
      </w:r>
      <w:r w:rsidRPr="00225DDF" w:rsidR="00516ED3">
        <w:rPr>
          <w:rFonts w:ascii="Times New Roman" w:hAnsi="Times New Roman" w:cs="Times New Roman"/>
          <w:sz w:val="24"/>
          <w:szCs w:val="24"/>
        </w:rPr>
        <w:t xml:space="preserve">Stare decisis has become stronger with newer precedents where the supreme court is allowed to overrule incorrect precedents based on </w:t>
      </w:r>
      <w:r w:rsidRPr="00225DDF" w:rsidR="00CD465D">
        <w:rPr>
          <w:rFonts w:ascii="Times New Roman" w:hAnsi="Times New Roman" w:cs="Times New Roman"/>
          <w:sz w:val="24"/>
          <w:szCs w:val="24"/>
        </w:rPr>
        <w:t>changing</w:t>
      </w:r>
      <w:r w:rsidRPr="00225DDF" w:rsidR="00516ED3">
        <w:rPr>
          <w:rFonts w:ascii="Times New Roman" w:hAnsi="Times New Roman" w:cs="Times New Roman"/>
          <w:sz w:val="24"/>
          <w:szCs w:val="24"/>
        </w:rPr>
        <w:t xml:space="preserve"> laws. </w:t>
      </w:r>
      <w:r w:rsidRPr="00225DDF" w:rsidR="00CD465D">
        <w:rPr>
          <w:rFonts w:ascii="Times New Roman" w:hAnsi="Times New Roman" w:cs="Times New Roman"/>
          <w:sz w:val="24"/>
          <w:szCs w:val="24"/>
        </w:rPr>
        <w:t xml:space="preserve">The case of Lawrence V. Texas 2003 resulted in a ruling that the criminalization of sexual intimacy between two consenting adults was not constitutional based on </w:t>
      </w:r>
      <w:r w:rsidRPr="00225DDF" w:rsidR="002B08B3">
        <w:rPr>
          <w:rFonts w:ascii="Times New Roman" w:hAnsi="Times New Roman" w:cs="Times New Roman"/>
          <w:sz w:val="24"/>
          <w:szCs w:val="24"/>
        </w:rPr>
        <w:t>Texas</w:t>
      </w:r>
      <w:r w:rsidRPr="00225DDF" w:rsidR="00CD465D">
        <w:rPr>
          <w:rFonts w:ascii="Times New Roman" w:hAnsi="Times New Roman" w:cs="Times New Roman"/>
          <w:sz w:val="24"/>
          <w:szCs w:val="24"/>
        </w:rPr>
        <w:t xml:space="preserve"> law. </w:t>
      </w:r>
      <w:r w:rsidRPr="00225DDF" w:rsidR="00BD6AD0">
        <w:rPr>
          <w:rFonts w:ascii="Times New Roman" w:hAnsi="Times New Roman" w:cs="Times New Roman"/>
          <w:sz w:val="24"/>
          <w:szCs w:val="24"/>
        </w:rPr>
        <w:t xml:space="preserve">Lawrence and his companion Tyron Garner had been found engaging in consensual sex by </w:t>
      </w:r>
      <w:r w:rsidRPr="00225DDF" w:rsidR="00A9505F">
        <w:rPr>
          <w:rFonts w:ascii="Times New Roman" w:hAnsi="Times New Roman" w:cs="Times New Roman"/>
          <w:sz w:val="24"/>
          <w:szCs w:val="24"/>
        </w:rPr>
        <w:t>the police</w:t>
      </w:r>
      <w:r w:rsidRPr="00225DDF" w:rsidR="00BD6AD0">
        <w:rPr>
          <w:rFonts w:ascii="Times New Roman" w:hAnsi="Times New Roman" w:cs="Times New Roman"/>
          <w:sz w:val="24"/>
          <w:szCs w:val="24"/>
        </w:rPr>
        <w:t xml:space="preserve"> and charged for the act. Following the court ruling in 2003, various</w:t>
      </w:r>
      <w:r w:rsidRPr="00225DDF" w:rsidR="002B08B3">
        <w:rPr>
          <w:rFonts w:ascii="Times New Roman" w:hAnsi="Times New Roman" w:cs="Times New Roman"/>
          <w:sz w:val="24"/>
          <w:szCs w:val="24"/>
        </w:rPr>
        <w:t xml:space="preserve"> laws relating to sodomy in Texas were hence invalidated allowing the court to overturn the ruling in the case of Bowers V. Hardwick in 1986. </w:t>
      </w:r>
      <w:r w:rsidRPr="00225DDF" w:rsidR="00680BA0">
        <w:rPr>
          <w:rFonts w:ascii="Times New Roman" w:hAnsi="Times New Roman" w:cs="Times New Roman"/>
          <w:sz w:val="24"/>
          <w:szCs w:val="24"/>
        </w:rPr>
        <w:t>This was part of the supreme court’s overruling of the precedents which ha</w:t>
      </w:r>
      <w:r w:rsidRPr="00225DDF" w:rsidR="00DF74BE">
        <w:rPr>
          <w:rFonts w:ascii="Times New Roman" w:hAnsi="Times New Roman" w:cs="Times New Roman"/>
          <w:sz w:val="24"/>
          <w:szCs w:val="24"/>
        </w:rPr>
        <w:t xml:space="preserve">d been incorrectly passed based on </w:t>
      </w:r>
      <w:r w:rsidRPr="00225DDF" w:rsidR="008F2AF0">
        <w:rPr>
          <w:rFonts w:ascii="Times New Roman" w:hAnsi="Times New Roman" w:cs="Times New Roman"/>
          <w:sz w:val="24"/>
          <w:szCs w:val="24"/>
        </w:rPr>
        <w:t>changing</w:t>
      </w:r>
      <w:r w:rsidRPr="00225DDF" w:rsidR="00DF74BE">
        <w:rPr>
          <w:rFonts w:ascii="Times New Roman" w:hAnsi="Times New Roman" w:cs="Times New Roman"/>
          <w:sz w:val="24"/>
          <w:szCs w:val="24"/>
        </w:rPr>
        <w:t xml:space="preserve"> </w:t>
      </w:r>
      <w:r w:rsidRPr="00225DDF" w:rsidR="008F2AF0">
        <w:rPr>
          <w:rFonts w:ascii="Times New Roman" w:hAnsi="Times New Roman" w:cs="Times New Roman"/>
          <w:sz w:val="24"/>
          <w:szCs w:val="24"/>
        </w:rPr>
        <w:t>constitutional</w:t>
      </w:r>
      <w:r w:rsidRPr="00225DDF" w:rsidR="00DF74BE">
        <w:rPr>
          <w:rFonts w:ascii="Times New Roman" w:hAnsi="Times New Roman" w:cs="Times New Roman"/>
          <w:sz w:val="24"/>
          <w:szCs w:val="24"/>
        </w:rPr>
        <w:t xml:space="preserve"> laws. </w:t>
      </w:r>
    </w:p>
    <w:p w:rsidR="00344E9D" w:rsidRPr="00225DDF" w:rsidP="00225DDF">
      <w:pPr>
        <w:spacing w:line="480" w:lineRule="auto"/>
        <w:ind w:firstLine="720"/>
        <w:jc w:val="both"/>
        <w:rPr>
          <w:rFonts w:ascii="Times New Roman" w:hAnsi="Times New Roman" w:cs="Times New Roman"/>
          <w:sz w:val="24"/>
          <w:szCs w:val="24"/>
        </w:rPr>
      </w:pPr>
      <w:r w:rsidRPr="00225DDF">
        <w:rPr>
          <w:rFonts w:ascii="Times New Roman" w:hAnsi="Times New Roman" w:cs="Times New Roman"/>
          <w:sz w:val="24"/>
          <w:szCs w:val="24"/>
        </w:rPr>
        <w:t xml:space="preserve">The sentencing phase in the case of United States V. Whitten used witness testimonies in the sentencing phase. Little evidence on the victim impact was availed during the ruling. The victim in the case was PFC Timothy </w:t>
      </w:r>
      <w:r w:rsidRPr="00225DDF" w:rsidR="008402C9">
        <w:rPr>
          <w:rFonts w:ascii="Times New Roman" w:hAnsi="Times New Roman" w:cs="Times New Roman"/>
          <w:sz w:val="24"/>
          <w:szCs w:val="24"/>
        </w:rPr>
        <w:t>Campbell</w:t>
      </w:r>
      <w:r w:rsidRPr="00225DDF">
        <w:rPr>
          <w:rFonts w:ascii="Times New Roman" w:hAnsi="Times New Roman" w:cs="Times New Roman"/>
          <w:sz w:val="24"/>
          <w:szCs w:val="24"/>
        </w:rPr>
        <w:t xml:space="preserve"> </w:t>
      </w:r>
      <w:r w:rsidRPr="00225DDF" w:rsidR="004C4AA6">
        <w:rPr>
          <w:rFonts w:ascii="Times New Roman" w:hAnsi="Times New Roman" w:cs="Times New Roman"/>
          <w:sz w:val="24"/>
          <w:szCs w:val="24"/>
        </w:rPr>
        <w:t xml:space="preserve">who had been </w:t>
      </w:r>
      <w:r w:rsidRPr="00225DDF" w:rsidR="008402C9">
        <w:rPr>
          <w:rFonts w:ascii="Times New Roman" w:hAnsi="Times New Roman" w:cs="Times New Roman"/>
          <w:sz w:val="24"/>
          <w:szCs w:val="24"/>
        </w:rPr>
        <w:t>informed</w:t>
      </w:r>
      <w:r w:rsidRPr="00225DDF" w:rsidR="004C4AA6">
        <w:rPr>
          <w:rFonts w:ascii="Times New Roman" w:hAnsi="Times New Roman" w:cs="Times New Roman"/>
          <w:sz w:val="24"/>
          <w:szCs w:val="24"/>
        </w:rPr>
        <w:t xml:space="preserve"> by his neighbor </w:t>
      </w:r>
      <w:r w:rsidRPr="00225DDF" w:rsidR="008402C9">
        <w:rPr>
          <w:rFonts w:ascii="Times New Roman" w:hAnsi="Times New Roman" w:cs="Times New Roman"/>
          <w:sz w:val="24"/>
          <w:szCs w:val="24"/>
        </w:rPr>
        <w:t>about</w:t>
      </w:r>
      <w:r w:rsidRPr="00225DDF" w:rsidR="004C4AA6">
        <w:rPr>
          <w:rFonts w:ascii="Times New Roman" w:hAnsi="Times New Roman" w:cs="Times New Roman"/>
          <w:sz w:val="24"/>
          <w:szCs w:val="24"/>
        </w:rPr>
        <w:t xml:space="preserve"> someone taking his duffel bag.</w:t>
      </w:r>
      <w:r w:rsidRPr="00225DDF">
        <w:rPr>
          <w:rFonts w:ascii="Times New Roman" w:hAnsi="Times New Roman" w:cs="Times New Roman"/>
          <w:sz w:val="24"/>
          <w:szCs w:val="24"/>
        </w:rPr>
        <w:t xml:space="preserve"> </w:t>
      </w:r>
      <w:r w:rsidRPr="00225DDF" w:rsidR="008402C9">
        <w:rPr>
          <w:rFonts w:ascii="Times New Roman" w:hAnsi="Times New Roman" w:cs="Times New Roman"/>
          <w:sz w:val="24"/>
          <w:szCs w:val="24"/>
        </w:rPr>
        <w:t xml:space="preserve">Whitten ended up being charged with larceny during a relocation. </w:t>
      </w:r>
    </w:p>
    <w:p w:rsidR="00040C1A" w:rsidRPr="00225DDF" w:rsidP="00225DDF">
      <w:pPr>
        <w:spacing w:line="480" w:lineRule="auto"/>
        <w:ind w:firstLine="720"/>
        <w:jc w:val="both"/>
        <w:rPr>
          <w:rFonts w:ascii="Times New Roman" w:hAnsi="Times New Roman" w:cs="Times New Roman"/>
          <w:sz w:val="24"/>
          <w:szCs w:val="24"/>
        </w:rPr>
      </w:pPr>
      <w:r w:rsidRPr="00225DDF">
        <w:rPr>
          <w:rFonts w:ascii="Times New Roman" w:hAnsi="Times New Roman" w:cs="Times New Roman"/>
          <w:sz w:val="24"/>
          <w:szCs w:val="24"/>
        </w:rPr>
        <w:t xml:space="preserve">Timothy J. McVeigh was convicted on different counts following his actions related to the bombing of the Murrah building. He was sentenced to death for his actions which resulted in the death of 168 victims. </w:t>
      </w:r>
      <w:r w:rsidRPr="00225DDF" w:rsidR="00E63AB9">
        <w:rPr>
          <w:rFonts w:ascii="Times New Roman" w:hAnsi="Times New Roman" w:cs="Times New Roman"/>
          <w:sz w:val="24"/>
          <w:szCs w:val="24"/>
        </w:rPr>
        <w:t xml:space="preserve">Following the conviction, McVeigh appealed the decision by stating that the evidence from the victim impact testimony had been used in passing his conviction. In the appeal, </w:t>
      </w:r>
      <w:r w:rsidRPr="00225DDF" w:rsidR="00E63AB9">
        <w:rPr>
          <w:rFonts w:ascii="Times New Roman" w:hAnsi="Times New Roman" w:cs="Times New Roman"/>
          <w:sz w:val="24"/>
          <w:szCs w:val="24"/>
        </w:rPr>
        <w:t xml:space="preserve">he stated that the victim impact testimony used by the district court </w:t>
      </w:r>
      <w:r w:rsidRPr="00225DDF" w:rsidR="00146528">
        <w:rPr>
          <w:rFonts w:ascii="Times New Roman" w:hAnsi="Times New Roman" w:cs="Times New Roman"/>
          <w:sz w:val="24"/>
          <w:szCs w:val="24"/>
        </w:rPr>
        <w:t>erred</w:t>
      </w:r>
      <w:r w:rsidRPr="00225DDF" w:rsidR="00E63AB9">
        <w:rPr>
          <w:rFonts w:ascii="Times New Roman" w:hAnsi="Times New Roman" w:cs="Times New Roman"/>
          <w:sz w:val="24"/>
          <w:szCs w:val="24"/>
        </w:rPr>
        <w:t xml:space="preserve"> the conviction. </w:t>
      </w:r>
      <w:r w:rsidRPr="00225DDF" w:rsidR="00146528">
        <w:rPr>
          <w:rFonts w:ascii="Times New Roman" w:hAnsi="Times New Roman" w:cs="Times New Roman"/>
          <w:sz w:val="24"/>
          <w:szCs w:val="24"/>
        </w:rPr>
        <w:t>The testimony used in the sentencing according to him produced a conviction</w:t>
      </w:r>
      <w:r w:rsidRPr="00225DDF" w:rsidR="00A70164">
        <w:rPr>
          <w:rFonts w:ascii="Times New Roman" w:hAnsi="Times New Roman" w:cs="Times New Roman"/>
          <w:sz w:val="24"/>
          <w:szCs w:val="24"/>
        </w:rPr>
        <w:t xml:space="preserve"> on the basis of emotion while undermining the use of reason. </w:t>
      </w:r>
      <w:r w:rsidRPr="00225DDF" w:rsidR="006D495C">
        <w:rPr>
          <w:rFonts w:ascii="Times New Roman" w:hAnsi="Times New Roman" w:cs="Times New Roman"/>
          <w:sz w:val="24"/>
          <w:szCs w:val="24"/>
        </w:rPr>
        <w:t xml:space="preserve">The </w:t>
      </w:r>
      <w:r w:rsidRPr="00225DDF" w:rsidR="00225DDF">
        <w:rPr>
          <w:rFonts w:ascii="Times New Roman" w:hAnsi="Times New Roman" w:cs="Times New Roman"/>
          <w:sz w:val="24"/>
          <w:szCs w:val="24"/>
        </w:rPr>
        <w:t>supreme</w:t>
      </w:r>
      <w:r w:rsidRPr="00225DDF" w:rsidR="006D495C">
        <w:rPr>
          <w:rFonts w:ascii="Times New Roman" w:hAnsi="Times New Roman" w:cs="Times New Roman"/>
          <w:sz w:val="24"/>
          <w:szCs w:val="24"/>
        </w:rPr>
        <w:t xml:space="preserve"> court however affirmed the previously passed </w:t>
      </w:r>
      <w:r w:rsidRPr="00225DDF" w:rsidR="00225DDF">
        <w:rPr>
          <w:rFonts w:ascii="Times New Roman" w:hAnsi="Times New Roman" w:cs="Times New Roman"/>
          <w:sz w:val="24"/>
          <w:szCs w:val="24"/>
        </w:rPr>
        <w:t>conviction</w:t>
      </w:r>
      <w:r w:rsidRPr="00225DDF" w:rsidR="006D495C">
        <w:rPr>
          <w:rFonts w:ascii="Times New Roman" w:hAnsi="Times New Roman" w:cs="Times New Roman"/>
          <w:sz w:val="24"/>
          <w:szCs w:val="24"/>
        </w:rPr>
        <w:t xml:space="preserve"> by the district court. </w:t>
      </w:r>
    </w:p>
    <w:p w:rsidR="00225DDF" w:rsidRPr="00225DDF">
      <w:pPr>
        <w:spacing w:line="480" w:lineRule="auto"/>
        <w:ind w:firstLine="720"/>
        <w:jc w:val="both"/>
        <w:rPr>
          <w:rFonts w:ascii="Times New Roman" w:hAnsi="Times New Roman" w:cs="Times New Roman"/>
          <w:sz w:val="24"/>
          <w:szCs w:val="24"/>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0B1C"/>
    <w:rsid w:val="00040C1A"/>
    <w:rsid w:val="00064350"/>
    <w:rsid w:val="00133FA4"/>
    <w:rsid w:val="00146528"/>
    <w:rsid w:val="00225DDF"/>
    <w:rsid w:val="00251689"/>
    <w:rsid w:val="002B08B3"/>
    <w:rsid w:val="00344E9D"/>
    <w:rsid w:val="004A195A"/>
    <w:rsid w:val="004C4AA6"/>
    <w:rsid w:val="00516ED3"/>
    <w:rsid w:val="00673A0C"/>
    <w:rsid w:val="00680BA0"/>
    <w:rsid w:val="006C758F"/>
    <w:rsid w:val="006D495C"/>
    <w:rsid w:val="006F0E69"/>
    <w:rsid w:val="008402C9"/>
    <w:rsid w:val="008922B7"/>
    <w:rsid w:val="008F2AF0"/>
    <w:rsid w:val="00944723"/>
    <w:rsid w:val="00A05C35"/>
    <w:rsid w:val="00A70164"/>
    <w:rsid w:val="00A75E91"/>
    <w:rsid w:val="00A9505F"/>
    <w:rsid w:val="00AC07C8"/>
    <w:rsid w:val="00AD1E7A"/>
    <w:rsid w:val="00BB0B1C"/>
    <w:rsid w:val="00BD6AD0"/>
    <w:rsid w:val="00CD465D"/>
    <w:rsid w:val="00CD5A2F"/>
    <w:rsid w:val="00CE6842"/>
    <w:rsid w:val="00DB3824"/>
    <w:rsid w:val="00DF74BE"/>
    <w:rsid w:val="00E63AB9"/>
    <w:rsid w:val="00EA4ED6"/>
    <w:rsid w:val="00EF207A"/>
    <w:rsid w:val="00EF6A0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19E5FCE"/>
  <w15:chartTrackingRefBased/>
  <w15:docId w15:val="{25234A82-965B-469A-AA8C-468574F50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165</TotalTime>
  <Pages>3</Pages>
  <Words>573</Words>
  <Characters>3268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25</cp:revision>
  <dcterms:created xsi:type="dcterms:W3CDTF">2021-09-08T14:04:00Z</dcterms:created>
  <dcterms:modified xsi:type="dcterms:W3CDTF">2021-09-08T18:17:00Z</dcterms:modified>
</cp:coreProperties>
</file>